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8C3A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AE5D9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ED2C74C"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73477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2E83207"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0D42C5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B5810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C240D0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E14F9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5ACA916" w14:textId="77777777" w:rsidR="00582D4C" w:rsidRPr="001D0818" w:rsidRDefault="00295417"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Law Matrix</w:t>
      </w:r>
    </w:p>
    <w:p w14:paraId="4BDF67C4" w14:textId="77777777" w:rsid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549C9B93" w14:textId="77777777" w:rsid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17093A49" w14:textId="77777777" w:rsidR="001418F7"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80DBADD" w14:textId="77777777" w:rsidR="001418F7"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21C6A0E8" w14:textId="77777777" w:rsidR="001418F7" w:rsidRPr="00582D4C" w:rsidRDefault="00295417"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5C1797FB"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2E5EC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DF62BD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7FDB2FF"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AC8C82F"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3B4B454"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676BABB"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03E664F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8BC00B8" w14:textId="77777777" w:rsidR="008F3737" w:rsidRDefault="00295417" w:rsidP="008F3737">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Law Matrix</w:t>
      </w:r>
    </w:p>
    <w:p w14:paraId="1F745409" w14:textId="77777777" w:rsidR="008F3737" w:rsidRDefault="00295417" w:rsidP="008F3737">
      <w:pPr>
        <w:shd w:val="clear" w:color="auto" w:fill="FFFFFF"/>
        <w:spacing w:after="0" w:line="480" w:lineRule="auto"/>
        <w:outlineLvl w:val="3"/>
        <w:rPr>
          <w:rFonts w:ascii="Times New Roman" w:eastAsia="Times New Roman" w:hAnsi="Times New Roman" w:cs="Times New Roman"/>
          <w:b/>
          <w:bCs/>
          <w:color w:val="333333"/>
          <w:sz w:val="24"/>
          <w:szCs w:val="24"/>
        </w:rPr>
      </w:pPr>
      <w:r w:rsidRPr="008F3737">
        <w:rPr>
          <w:rFonts w:ascii="Times New Roman" w:eastAsia="Times New Roman" w:hAnsi="Times New Roman" w:cs="Times New Roman"/>
          <w:b/>
          <w:bCs/>
          <w:color w:val="333333"/>
          <w:sz w:val="24"/>
          <w:szCs w:val="24"/>
        </w:rPr>
        <w:t xml:space="preserve">Primary Sources of Law </w:t>
      </w:r>
    </w:p>
    <w:p w14:paraId="4CC891CB" w14:textId="77777777" w:rsid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1F1D46">
        <w:rPr>
          <w:rFonts w:ascii="Times New Roman" w:eastAsia="Times New Roman" w:hAnsi="Times New Roman" w:cs="Times New Roman"/>
          <w:color w:val="333333"/>
          <w:sz w:val="24"/>
          <w:szCs w:val="24"/>
        </w:rPr>
        <w:t>The United States Constitution gives state governments the power to protect and uphold public health and safety. Therefore, state governments can develop laws, that are aimed at promoting public safety (</w:t>
      </w:r>
      <w:r w:rsidR="00E02921">
        <w:rPr>
          <w:rFonts w:ascii="Times New Roman" w:eastAsia="Times New Roman" w:hAnsi="Times New Roman" w:cs="Times New Roman"/>
          <w:color w:val="333333"/>
          <w:sz w:val="24"/>
          <w:szCs w:val="24"/>
        </w:rPr>
        <w:t>Porche, 2017</w:t>
      </w:r>
      <w:r w:rsidR="001F1D46">
        <w:rPr>
          <w:rFonts w:ascii="Times New Roman" w:eastAsia="Times New Roman" w:hAnsi="Times New Roman" w:cs="Times New Roman"/>
          <w:color w:val="333333"/>
          <w:sz w:val="24"/>
          <w:szCs w:val="24"/>
        </w:rPr>
        <w:t xml:space="preserve">). Further, the Tenth Amendment of the Constitution gives states the power to make laws regarding public health. For example, the state of California implemented </w:t>
      </w:r>
      <w:r w:rsidR="00E24087">
        <w:rPr>
          <w:rFonts w:ascii="Times New Roman" w:eastAsia="Times New Roman" w:hAnsi="Times New Roman" w:cs="Times New Roman"/>
          <w:color w:val="333333"/>
          <w:sz w:val="24"/>
          <w:szCs w:val="24"/>
        </w:rPr>
        <w:t>Medi-Cal, a Medicaid health program</w:t>
      </w:r>
      <w:r w:rsidR="001F1D46">
        <w:rPr>
          <w:rFonts w:ascii="Times New Roman" w:eastAsia="Times New Roman" w:hAnsi="Times New Roman" w:cs="Times New Roman"/>
          <w:color w:val="333333"/>
          <w:sz w:val="24"/>
          <w:szCs w:val="24"/>
        </w:rPr>
        <w:t xml:space="preserve">. </w:t>
      </w:r>
      <w:r w:rsidR="00E02921">
        <w:rPr>
          <w:rFonts w:ascii="Times New Roman" w:eastAsia="Times New Roman" w:hAnsi="Times New Roman" w:cs="Times New Roman"/>
          <w:color w:val="333333"/>
          <w:sz w:val="24"/>
          <w:szCs w:val="24"/>
        </w:rPr>
        <w:t xml:space="preserve">The federal government has also implemented various policies. </w:t>
      </w:r>
    </w:p>
    <w:p w14:paraId="458DFF3F" w14:textId="77777777" w:rsidR="00274253"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State constitutions provide socioeconomic rights in public healthcare, that are not included or acknowledged in the federal constitution. The history of the United States indicates that states take the leadership role in developing and implementing public healthcare policy. State constitutions can restrict or bind state governments to offer equitable care to their citizens (</w:t>
      </w:r>
      <w:r w:rsidR="00E02921">
        <w:rPr>
          <w:rFonts w:ascii="Times New Roman" w:eastAsia="Times New Roman" w:hAnsi="Times New Roman" w:cs="Times New Roman"/>
          <w:color w:val="333333"/>
          <w:sz w:val="24"/>
          <w:szCs w:val="24"/>
        </w:rPr>
        <w:t>Ransom &amp; Valladares, 2021</w:t>
      </w:r>
      <w:r>
        <w:rPr>
          <w:rFonts w:ascii="Times New Roman" w:eastAsia="Times New Roman" w:hAnsi="Times New Roman" w:cs="Times New Roman"/>
          <w:color w:val="333333"/>
          <w:sz w:val="24"/>
          <w:szCs w:val="24"/>
        </w:rPr>
        <w:t xml:space="preserve">). These rights provide for legislative action, to improve the healthcare system. </w:t>
      </w:r>
    </w:p>
    <w:p w14:paraId="7386004E" w14:textId="77777777" w:rsidR="00274253"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Federal </w:t>
      </w:r>
      <w:r w:rsidR="002836ED">
        <w:rPr>
          <w:rFonts w:ascii="Times New Roman" w:eastAsia="Times New Roman" w:hAnsi="Times New Roman" w:cs="Times New Roman"/>
          <w:color w:val="333333"/>
          <w:sz w:val="24"/>
          <w:szCs w:val="24"/>
        </w:rPr>
        <w:t>statutes are implemented by the Department of Health and Human Services. This department is in charge of initiatives that are aimed at improving public health and patient outcomes. Apart from this, it is responsible for supporting new statutes (</w:t>
      </w:r>
      <w:r w:rsidR="00E02921">
        <w:rPr>
          <w:rFonts w:ascii="Times New Roman" w:eastAsia="Times New Roman" w:hAnsi="Times New Roman" w:cs="Times New Roman"/>
          <w:color w:val="333333"/>
          <w:sz w:val="24"/>
          <w:szCs w:val="24"/>
        </w:rPr>
        <w:t>US Department of Health and Human Services, 2021</w:t>
      </w:r>
      <w:r w:rsidR="002836ED">
        <w:rPr>
          <w:rFonts w:ascii="Times New Roman" w:eastAsia="Times New Roman" w:hAnsi="Times New Roman" w:cs="Times New Roman"/>
          <w:color w:val="333333"/>
          <w:sz w:val="24"/>
          <w:szCs w:val="24"/>
        </w:rPr>
        <w:t xml:space="preserve">). Examples of these statutes include Medicare, Medicaid, and HIPAA among others. State statutes ensure that public health organizations are licensed and regulated. </w:t>
      </w:r>
    </w:p>
    <w:p w14:paraId="76C6AA2B" w14:textId="77777777" w:rsid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Common law, as interpreted by the courts, must be considered in the development of public health policy. Any authority that wishes to implement new rules, regulations, and programs, must consider the provisions of the common law (</w:t>
      </w:r>
      <w:r w:rsidR="00E02921">
        <w:rPr>
          <w:rFonts w:ascii="Times New Roman" w:eastAsia="Times New Roman" w:hAnsi="Times New Roman" w:cs="Times New Roman"/>
          <w:color w:val="333333"/>
          <w:sz w:val="24"/>
          <w:szCs w:val="24"/>
        </w:rPr>
        <w:t xml:space="preserve">Centers for Disease Control and </w:t>
      </w:r>
      <w:r w:rsidR="00E02921">
        <w:rPr>
          <w:rFonts w:ascii="Times New Roman" w:eastAsia="Times New Roman" w:hAnsi="Times New Roman" w:cs="Times New Roman"/>
          <w:color w:val="333333"/>
          <w:sz w:val="24"/>
          <w:szCs w:val="24"/>
        </w:rPr>
        <w:lastRenderedPageBreak/>
        <w:t>Prevention, 2021</w:t>
      </w:r>
      <w:r>
        <w:rPr>
          <w:rFonts w:ascii="Times New Roman" w:eastAsia="Times New Roman" w:hAnsi="Times New Roman" w:cs="Times New Roman"/>
          <w:color w:val="333333"/>
          <w:sz w:val="24"/>
          <w:szCs w:val="24"/>
        </w:rPr>
        <w:t xml:space="preserve">). For example, common law gives lawyers the authority to define the permissible scope for conducting health agency programs. This explains why healthcare agencies should have lawyers. </w:t>
      </w:r>
    </w:p>
    <w:p w14:paraId="3E7B1AF3" w14:textId="33F9BF00" w:rsidR="00147C08"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Case laws focus on challenging existing public healthcare policies, to ensure that they are focused on improving public health. For example, in 2012, the Supreme Court heard the case challenging the Patient Protection and Affordable Care Act of 2010 (</w:t>
      </w:r>
      <w:r w:rsidR="00E02921">
        <w:rPr>
          <w:rFonts w:ascii="Times New Roman" w:eastAsia="Times New Roman" w:hAnsi="Times New Roman" w:cs="Times New Roman"/>
          <w:color w:val="333333"/>
          <w:sz w:val="24"/>
          <w:szCs w:val="24"/>
        </w:rPr>
        <w:t>Centers for Disease Control and Prevention, 2021</w:t>
      </w:r>
      <w:r>
        <w:rPr>
          <w:rFonts w:ascii="Times New Roman" w:eastAsia="Times New Roman" w:hAnsi="Times New Roman" w:cs="Times New Roman"/>
          <w:color w:val="333333"/>
          <w:sz w:val="24"/>
          <w:szCs w:val="24"/>
        </w:rPr>
        <w:t xml:space="preserve">). </w:t>
      </w:r>
      <w:r w:rsidR="00E24087">
        <w:rPr>
          <w:rFonts w:ascii="Times New Roman" w:eastAsia="Times New Roman" w:hAnsi="Times New Roman" w:cs="Times New Roman"/>
          <w:color w:val="333333"/>
          <w:sz w:val="24"/>
          <w:szCs w:val="24"/>
        </w:rPr>
        <w:t xml:space="preserve">The constitutionality of this act has been challenged. For example, its eligibility criteria have been questioned. </w:t>
      </w:r>
      <w:r>
        <w:rPr>
          <w:rFonts w:ascii="Times New Roman" w:eastAsia="Times New Roman" w:hAnsi="Times New Roman" w:cs="Times New Roman"/>
          <w:color w:val="333333"/>
          <w:sz w:val="24"/>
          <w:szCs w:val="24"/>
        </w:rPr>
        <w:t xml:space="preserve">Court rulings can also have an impact on the effectiveness of public healthcare policy. Therefore, case laws are aimed at interpreting the constitution, with regard to healthcare. </w:t>
      </w:r>
    </w:p>
    <w:p w14:paraId="13C5A257" w14:textId="77777777" w:rsidR="00147C08" w:rsidRPr="008F3737" w:rsidRDefault="00295417" w:rsidP="008F3737">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Administrative law concerns the development of rules and laws that guide the activities of health workers. Apart from this, administrative law is used in governing the way public health organizations implement and enforce various programs and policies (</w:t>
      </w:r>
      <w:r w:rsidR="00E02921">
        <w:rPr>
          <w:rFonts w:ascii="Times New Roman" w:eastAsia="Times New Roman" w:hAnsi="Times New Roman" w:cs="Times New Roman"/>
          <w:color w:val="333333"/>
          <w:sz w:val="24"/>
          <w:szCs w:val="24"/>
        </w:rPr>
        <w:t>Ransom &amp; Valladares, 2021</w:t>
      </w:r>
      <w:r>
        <w:rPr>
          <w:rFonts w:ascii="Times New Roman" w:eastAsia="Times New Roman" w:hAnsi="Times New Roman" w:cs="Times New Roman"/>
          <w:color w:val="333333"/>
          <w:sz w:val="24"/>
          <w:szCs w:val="24"/>
        </w:rPr>
        <w:t xml:space="preserve">). </w:t>
      </w:r>
      <w:r w:rsidR="00E02921">
        <w:rPr>
          <w:rFonts w:ascii="Times New Roman" w:eastAsia="Times New Roman" w:hAnsi="Times New Roman" w:cs="Times New Roman"/>
          <w:color w:val="333333"/>
          <w:sz w:val="24"/>
          <w:szCs w:val="24"/>
        </w:rPr>
        <w:t xml:space="preserve">For example, administrative law allows federal, state, and local governments to exercise their power over public health workers and agencies. It gives governments the power to fire health workers. </w:t>
      </w:r>
    </w:p>
    <w:p w14:paraId="1FF190B7" w14:textId="77777777" w:rsidR="00F62ABD" w:rsidRDefault="00295417" w:rsidP="00BA7B35">
      <w:pPr>
        <w:shd w:val="clear" w:color="auto" w:fill="FFFFFF"/>
        <w:spacing w:after="0" w:line="480" w:lineRule="auto"/>
        <w:ind w:left="720"/>
        <w:jc w:val="center"/>
        <w:outlineLvl w:val="3"/>
        <w:rPr>
          <w:rFonts w:ascii="Times New Roman" w:eastAsia="Times New Roman" w:hAnsi="Times New Roman" w:cs="Times New Roman"/>
          <w:b/>
          <w:color w:val="000000" w:themeColor="text1"/>
          <w:sz w:val="24"/>
          <w:szCs w:val="24"/>
        </w:rPr>
      </w:pPr>
      <w:bookmarkStart w:id="0" w:name="_GoBack"/>
      <w:bookmarkEnd w:id="0"/>
      <w:r w:rsidRPr="00BA7B35">
        <w:rPr>
          <w:rFonts w:ascii="Times New Roman" w:eastAsia="Times New Roman" w:hAnsi="Times New Roman" w:cs="Times New Roman"/>
          <w:b/>
          <w:color w:val="000000" w:themeColor="text1"/>
          <w:sz w:val="24"/>
          <w:szCs w:val="24"/>
        </w:rPr>
        <w:t>Branches of Government</w:t>
      </w:r>
    </w:p>
    <w:p w14:paraId="11497D4C" w14:textId="77777777"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The branches of government are the executive, the judiciary, and the legislature. The executive is responsible for providing leadership and developing public health policies (Rural Health Information Hub, n. d.). It enforces various laws that are passed by congress to address ethical issues. For example, it is responsible for making rules that guide the behaviors of healthcare workers and organizations. The Code of Conduct for nurses is an example of an ethical guideline under the executive branch. </w:t>
      </w:r>
    </w:p>
    <w:p w14:paraId="4B5884A8" w14:textId="77777777"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 xml:space="preserve">The judiciary interprets all the laws that have been developed by the federal branch, regarding the activities of healthcare workers and organizations. The judiciary is responsible for applying ethical laws to various states (Rural Health Information Hub, n. d.). For example, it can apply laws related to specific ethical cases that have been raised in states. Decisions made by the federal branch affect healthcare policy. </w:t>
      </w:r>
    </w:p>
    <w:p w14:paraId="1DE5F5C7" w14:textId="77777777" w:rsidR="00BA7B35" w:rsidRDefault="00295417"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legislature carries out the legislative process. It is responsible for addressing healthcare issues that are faced in various areas (</w:t>
      </w:r>
      <w:r w:rsidR="00A56EB5">
        <w:rPr>
          <w:rFonts w:ascii="Times New Roman" w:eastAsia="Times New Roman" w:hAnsi="Times New Roman" w:cs="Times New Roman"/>
          <w:bCs/>
          <w:color w:val="000000" w:themeColor="text1"/>
          <w:sz w:val="24"/>
          <w:szCs w:val="24"/>
        </w:rPr>
        <w:t>Jacox, 2017).</w:t>
      </w:r>
      <w:r>
        <w:rPr>
          <w:rFonts w:ascii="Times New Roman" w:eastAsia="Times New Roman" w:hAnsi="Times New Roman" w:cs="Times New Roman"/>
          <w:bCs/>
          <w:color w:val="000000" w:themeColor="text1"/>
          <w:sz w:val="24"/>
          <w:szCs w:val="24"/>
        </w:rPr>
        <w:t xml:space="preserve"> It influences the healthcare workers that are allowed to work in various health organizations. This implies that it can fire any workers that are involved in unethical practices. </w:t>
      </w:r>
    </w:p>
    <w:p w14:paraId="1A12977B"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64A0866"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71310C2A"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1ACA2AB"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6E933E4"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4B788D64"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6AD524D2"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DF270EC"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28E2BF1D"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1DCA89EA"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7E198955"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34B66BFA"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5593773"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AB12A9D" w14:textId="77777777" w:rsidR="00A56EB5" w:rsidRDefault="00A56EB5" w:rsidP="00BA7B35">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59BCC231" w14:textId="77777777" w:rsidR="00A56EB5" w:rsidRDefault="00295417" w:rsidP="00A56EB5">
      <w:pPr>
        <w:shd w:val="clear" w:color="auto" w:fill="FFFFFF"/>
        <w:spacing w:after="0" w:line="480" w:lineRule="auto"/>
        <w:ind w:firstLine="720"/>
        <w:jc w:val="center"/>
        <w:outlineLvl w:val="3"/>
        <w:rPr>
          <w:rFonts w:ascii="Times New Roman" w:eastAsia="Times New Roman" w:hAnsi="Times New Roman" w:cs="Times New Roman"/>
          <w:b/>
          <w:color w:val="000000" w:themeColor="text1"/>
          <w:sz w:val="24"/>
          <w:szCs w:val="24"/>
        </w:rPr>
      </w:pPr>
      <w:r w:rsidRPr="00A56EB5">
        <w:rPr>
          <w:rFonts w:ascii="Times New Roman" w:eastAsia="Times New Roman" w:hAnsi="Times New Roman" w:cs="Times New Roman"/>
          <w:b/>
          <w:color w:val="000000" w:themeColor="text1"/>
          <w:sz w:val="24"/>
          <w:szCs w:val="24"/>
        </w:rPr>
        <w:lastRenderedPageBreak/>
        <w:t>References</w:t>
      </w:r>
    </w:p>
    <w:p w14:paraId="3972C6FD"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Centers for Disease Control and Prevention (2021). Public health law 101. </w:t>
      </w:r>
    </w:p>
    <w:p w14:paraId="0348B50D"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https://www.cdc.gov/phlp/docs/phl101/PHL101-Unit-1-16Jan09-Secure.pdf</w:t>
      </w:r>
    </w:p>
    <w:p w14:paraId="17565EBC" w14:textId="77777777" w:rsidR="00A56EB5" w:rsidRDefault="00295417" w:rsidP="00A56EB5">
      <w:pPr>
        <w:shd w:val="clear" w:color="auto" w:fill="FFFFFF"/>
        <w:spacing w:after="0" w:line="480" w:lineRule="auto"/>
        <w:outlineLvl w:val="3"/>
        <w:rPr>
          <w:rFonts w:ascii="Times New Roman" w:eastAsia="Times New Roman" w:hAnsi="Times New Roman" w:cs="Times New Roman"/>
          <w:bCs/>
          <w:i/>
          <w:iCs/>
          <w:color w:val="000000" w:themeColor="text1"/>
          <w:sz w:val="24"/>
          <w:szCs w:val="24"/>
        </w:rPr>
      </w:pPr>
      <w:r>
        <w:rPr>
          <w:rFonts w:ascii="Times New Roman" w:eastAsia="Times New Roman" w:hAnsi="Times New Roman" w:cs="Times New Roman"/>
          <w:bCs/>
          <w:color w:val="000000" w:themeColor="text1"/>
          <w:sz w:val="24"/>
          <w:szCs w:val="24"/>
        </w:rPr>
        <w:t xml:space="preserve">Jacox, A. (2017). Determinants of who does what in healthcare. </w:t>
      </w:r>
      <w:r w:rsidRPr="00A56EB5">
        <w:rPr>
          <w:rFonts w:ascii="Times New Roman" w:eastAsia="Times New Roman" w:hAnsi="Times New Roman" w:cs="Times New Roman"/>
          <w:bCs/>
          <w:i/>
          <w:iCs/>
          <w:color w:val="000000" w:themeColor="text1"/>
          <w:sz w:val="24"/>
          <w:szCs w:val="24"/>
        </w:rPr>
        <w:t xml:space="preserve">The Online Journal of Issues in </w:t>
      </w:r>
    </w:p>
    <w:p w14:paraId="677D0FD0"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i/>
          <w:iCs/>
          <w:color w:val="000000" w:themeColor="text1"/>
          <w:sz w:val="24"/>
          <w:szCs w:val="24"/>
        </w:rPr>
        <w:tab/>
      </w:r>
      <w:r w:rsidRPr="00A56EB5">
        <w:rPr>
          <w:rFonts w:ascii="Times New Roman" w:eastAsia="Times New Roman" w:hAnsi="Times New Roman" w:cs="Times New Roman"/>
          <w:bCs/>
          <w:i/>
          <w:iCs/>
          <w:color w:val="000000" w:themeColor="text1"/>
          <w:sz w:val="24"/>
          <w:szCs w:val="24"/>
        </w:rPr>
        <w:t>Nursing 2</w:t>
      </w:r>
      <w:r>
        <w:rPr>
          <w:rFonts w:ascii="Times New Roman" w:eastAsia="Times New Roman" w:hAnsi="Times New Roman" w:cs="Times New Roman"/>
          <w:bCs/>
          <w:color w:val="000000" w:themeColor="text1"/>
          <w:sz w:val="24"/>
          <w:szCs w:val="24"/>
        </w:rPr>
        <w:t xml:space="preserve">(4). </w:t>
      </w:r>
    </w:p>
    <w:p w14:paraId="43D49446"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Ransom, M. M. &amp; Valladares, L. M. (2021). </w:t>
      </w:r>
      <w:r w:rsidRPr="00A56EB5">
        <w:rPr>
          <w:rFonts w:ascii="Times New Roman" w:eastAsia="Times New Roman" w:hAnsi="Times New Roman" w:cs="Times New Roman"/>
          <w:bCs/>
          <w:i/>
          <w:iCs/>
          <w:color w:val="000000" w:themeColor="text1"/>
          <w:sz w:val="24"/>
          <w:szCs w:val="24"/>
        </w:rPr>
        <w:t>Public health law: Concepts and case studies</w:t>
      </w:r>
      <w:r>
        <w:rPr>
          <w:rFonts w:ascii="Times New Roman" w:eastAsia="Times New Roman" w:hAnsi="Times New Roman" w:cs="Times New Roman"/>
          <w:bCs/>
          <w:color w:val="000000" w:themeColor="text1"/>
          <w:sz w:val="24"/>
          <w:szCs w:val="24"/>
        </w:rPr>
        <w:t xml:space="preserve">. </w:t>
      </w:r>
    </w:p>
    <w:p w14:paraId="4D4928FB"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t xml:space="preserve">New York, United States: Springer Publishing Company. </w:t>
      </w:r>
    </w:p>
    <w:p w14:paraId="0AB60013"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Rural Health Information Hub (n. d.). Rural health policy. </w:t>
      </w:r>
    </w:p>
    <w:p w14:paraId="032D990C"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https://www.ruralhealthinfo.org/topics/rural-health-policy</w:t>
      </w:r>
    </w:p>
    <w:p w14:paraId="0755010F"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Porche, D. J. (2017). </w:t>
      </w:r>
      <w:r w:rsidRPr="00A56EB5">
        <w:rPr>
          <w:rFonts w:ascii="Times New Roman" w:eastAsia="Times New Roman" w:hAnsi="Times New Roman" w:cs="Times New Roman"/>
          <w:bCs/>
          <w:i/>
          <w:iCs/>
          <w:color w:val="000000" w:themeColor="text1"/>
          <w:sz w:val="24"/>
          <w:szCs w:val="24"/>
        </w:rPr>
        <w:t>Health policy</w:t>
      </w:r>
      <w:r>
        <w:rPr>
          <w:rFonts w:ascii="Times New Roman" w:eastAsia="Times New Roman" w:hAnsi="Times New Roman" w:cs="Times New Roman"/>
          <w:bCs/>
          <w:color w:val="000000" w:themeColor="text1"/>
          <w:sz w:val="24"/>
          <w:szCs w:val="24"/>
        </w:rPr>
        <w:t xml:space="preserve">. Massachusetts, United States: Jones &amp; Bartlett Learning. </w:t>
      </w:r>
    </w:p>
    <w:p w14:paraId="6316498E" w14:textId="77777777" w:rsid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US Department of Health and Human Services (2021). Laws and regulations. </w:t>
      </w:r>
    </w:p>
    <w:p w14:paraId="6910CAC1" w14:textId="77777777" w:rsidR="00A56EB5" w:rsidRPr="00A56EB5" w:rsidRDefault="00295417" w:rsidP="00A56EB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b/>
      </w:r>
      <w:r w:rsidRPr="00A56EB5">
        <w:rPr>
          <w:rFonts w:ascii="Times New Roman" w:eastAsia="Times New Roman" w:hAnsi="Times New Roman" w:cs="Times New Roman"/>
          <w:bCs/>
          <w:color w:val="000000" w:themeColor="text1"/>
          <w:sz w:val="24"/>
          <w:szCs w:val="24"/>
        </w:rPr>
        <w:t>https://www.hhs.gov/regulations/index.html</w:t>
      </w:r>
    </w:p>
    <w:sectPr w:rsidR="00A56EB5" w:rsidRPr="00A56EB5"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04CB9" w14:textId="77777777" w:rsidR="0075074D" w:rsidRDefault="0075074D">
      <w:pPr>
        <w:spacing w:after="0" w:line="240" w:lineRule="auto"/>
      </w:pPr>
      <w:r>
        <w:separator/>
      </w:r>
    </w:p>
  </w:endnote>
  <w:endnote w:type="continuationSeparator" w:id="0">
    <w:p w14:paraId="2BB6FAA9" w14:textId="77777777" w:rsidR="0075074D" w:rsidRDefault="00750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2D6EB" w14:textId="77777777" w:rsidR="0075074D" w:rsidRDefault="0075074D">
      <w:pPr>
        <w:spacing w:after="0" w:line="240" w:lineRule="auto"/>
      </w:pPr>
      <w:r>
        <w:separator/>
      </w:r>
    </w:p>
  </w:footnote>
  <w:footnote w:type="continuationSeparator" w:id="0">
    <w:p w14:paraId="03F0F90F" w14:textId="77777777" w:rsidR="0075074D" w:rsidRDefault="00750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CCB8" w14:textId="77777777"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6C15836F"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61CEE" w14:textId="77777777" w:rsidR="00EF6258" w:rsidRPr="00582D4C" w:rsidRDefault="00295417">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3AC0B0D3"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901AD310">
      <w:start w:val="1"/>
      <w:numFmt w:val="bullet"/>
      <w:lvlText w:val=""/>
      <w:lvlJc w:val="left"/>
      <w:pPr>
        <w:ind w:left="720" w:hanging="360"/>
      </w:pPr>
      <w:rPr>
        <w:rFonts w:ascii="Wingdings" w:hAnsi="Wingdings" w:hint="default"/>
      </w:rPr>
    </w:lvl>
    <w:lvl w:ilvl="1" w:tplc="9E9AE89A" w:tentative="1">
      <w:start w:val="1"/>
      <w:numFmt w:val="bullet"/>
      <w:lvlText w:val="o"/>
      <w:lvlJc w:val="left"/>
      <w:pPr>
        <w:ind w:left="1440" w:hanging="360"/>
      </w:pPr>
      <w:rPr>
        <w:rFonts w:ascii="Courier New" w:hAnsi="Courier New" w:cs="Courier New" w:hint="default"/>
      </w:rPr>
    </w:lvl>
    <w:lvl w:ilvl="2" w:tplc="1CDEC446" w:tentative="1">
      <w:start w:val="1"/>
      <w:numFmt w:val="bullet"/>
      <w:lvlText w:val=""/>
      <w:lvlJc w:val="left"/>
      <w:pPr>
        <w:ind w:left="2160" w:hanging="360"/>
      </w:pPr>
      <w:rPr>
        <w:rFonts w:ascii="Wingdings" w:hAnsi="Wingdings" w:hint="default"/>
      </w:rPr>
    </w:lvl>
    <w:lvl w:ilvl="3" w:tplc="4684B426" w:tentative="1">
      <w:start w:val="1"/>
      <w:numFmt w:val="bullet"/>
      <w:lvlText w:val=""/>
      <w:lvlJc w:val="left"/>
      <w:pPr>
        <w:ind w:left="2880" w:hanging="360"/>
      </w:pPr>
      <w:rPr>
        <w:rFonts w:ascii="Symbol" w:hAnsi="Symbol" w:hint="default"/>
      </w:rPr>
    </w:lvl>
    <w:lvl w:ilvl="4" w:tplc="95EE5E9A" w:tentative="1">
      <w:start w:val="1"/>
      <w:numFmt w:val="bullet"/>
      <w:lvlText w:val="o"/>
      <w:lvlJc w:val="left"/>
      <w:pPr>
        <w:ind w:left="3600" w:hanging="360"/>
      </w:pPr>
      <w:rPr>
        <w:rFonts w:ascii="Courier New" w:hAnsi="Courier New" w:cs="Courier New" w:hint="default"/>
      </w:rPr>
    </w:lvl>
    <w:lvl w:ilvl="5" w:tplc="C39A88FE" w:tentative="1">
      <w:start w:val="1"/>
      <w:numFmt w:val="bullet"/>
      <w:lvlText w:val=""/>
      <w:lvlJc w:val="left"/>
      <w:pPr>
        <w:ind w:left="4320" w:hanging="360"/>
      </w:pPr>
      <w:rPr>
        <w:rFonts w:ascii="Wingdings" w:hAnsi="Wingdings" w:hint="default"/>
      </w:rPr>
    </w:lvl>
    <w:lvl w:ilvl="6" w:tplc="F1DAB942" w:tentative="1">
      <w:start w:val="1"/>
      <w:numFmt w:val="bullet"/>
      <w:lvlText w:val=""/>
      <w:lvlJc w:val="left"/>
      <w:pPr>
        <w:ind w:left="5040" w:hanging="360"/>
      </w:pPr>
      <w:rPr>
        <w:rFonts w:ascii="Symbol" w:hAnsi="Symbol" w:hint="default"/>
      </w:rPr>
    </w:lvl>
    <w:lvl w:ilvl="7" w:tplc="B8F06988" w:tentative="1">
      <w:start w:val="1"/>
      <w:numFmt w:val="bullet"/>
      <w:lvlText w:val="o"/>
      <w:lvlJc w:val="left"/>
      <w:pPr>
        <w:ind w:left="5760" w:hanging="360"/>
      </w:pPr>
      <w:rPr>
        <w:rFonts w:ascii="Courier New" w:hAnsi="Courier New" w:cs="Courier New" w:hint="default"/>
      </w:rPr>
    </w:lvl>
    <w:lvl w:ilvl="8" w:tplc="EC2AAA48"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B7582A04">
      <w:start w:val="1"/>
      <w:numFmt w:val="lowerRoman"/>
      <w:lvlText w:val="%1."/>
      <w:lvlJc w:val="right"/>
      <w:pPr>
        <w:ind w:left="720" w:hanging="360"/>
      </w:pPr>
    </w:lvl>
    <w:lvl w:ilvl="1" w:tplc="46464794" w:tentative="1">
      <w:start w:val="1"/>
      <w:numFmt w:val="lowerLetter"/>
      <w:lvlText w:val="%2."/>
      <w:lvlJc w:val="left"/>
      <w:pPr>
        <w:ind w:left="1440" w:hanging="360"/>
      </w:pPr>
    </w:lvl>
    <w:lvl w:ilvl="2" w:tplc="7144AF06" w:tentative="1">
      <w:start w:val="1"/>
      <w:numFmt w:val="lowerRoman"/>
      <w:lvlText w:val="%3."/>
      <w:lvlJc w:val="right"/>
      <w:pPr>
        <w:ind w:left="2160" w:hanging="180"/>
      </w:pPr>
    </w:lvl>
    <w:lvl w:ilvl="3" w:tplc="F5F8AC3C" w:tentative="1">
      <w:start w:val="1"/>
      <w:numFmt w:val="decimal"/>
      <w:lvlText w:val="%4."/>
      <w:lvlJc w:val="left"/>
      <w:pPr>
        <w:ind w:left="2880" w:hanging="360"/>
      </w:pPr>
    </w:lvl>
    <w:lvl w:ilvl="4" w:tplc="E8FA8638" w:tentative="1">
      <w:start w:val="1"/>
      <w:numFmt w:val="lowerLetter"/>
      <w:lvlText w:val="%5."/>
      <w:lvlJc w:val="left"/>
      <w:pPr>
        <w:ind w:left="3600" w:hanging="360"/>
      </w:pPr>
    </w:lvl>
    <w:lvl w:ilvl="5" w:tplc="B96844D6" w:tentative="1">
      <w:start w:val="1"/>
      <w:numFmt w:val="lowerRoman"/>
      <w:lvlText w:val="%6."/>
      <w:lvlJc w:val="right"/>
      <w:pPr>
        <w:ind w:left="4320" w:hanging="180"/>
      </w:pPr>
    </w:lvl>
    <w:lvl w:ilvl="6" w:tplc="42425CB0" w:tentative="1">
      <w:start w:val="1"/>
      <w:numFmt w:val="decimal"/>
      <w:lvlText w:val="%7."/>
      <w:lvlJc w:val="left"/>
      <w:pPr>
        <w:ind w:left="5040" w:hanging="360"/>
      </w:pPr>
    </w:lvl>
    <w:lvl w:ilvl="7" w:tplc="685890B8" w:tentative="1">
      <w:start w:val="1"/>
      <w:numFmt w:val="lowerLetter"/>
      <w:lvlText w:val="%8."/>
      <w:lvlJc w:val="left"/>
      <w:pPr>
        <w:ind w:left="5760" w:hanging="360"/>
      </w:pPr>
    </w:lvl>
    <w:lvl w:ilvl="8" w:tplc="64824A00"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16EA8FA4">
      <w:start w:val="1"/>
      <w:numFmt w:val="bullet"/>
      <w:lvlText w:val=""/>
      <w:lvlJc w:val="left"/>
      <w:pPr>
        <w:ind w:left="1440" w:hanging="360"/>
      </w:pPr>
      <w:rPr>
        <w:rFonts w:ascii="Symbol" w:hAnsi="Symbol" w:hint="default"/>
      </w:rPr>
    </w:lvl>
    <w:lvl w:ilvl="1" w:tplc="FF2CDA50" w:tentative="1">
      <w:start w:val="1"/>
      <w:numFmt w:val="bullet"/>
      <w:lvlText w:val="o"/>
      <w:lvlJc w:val="left"/>
      <w:pPr>
        <w:ind w:left="2160" w:hanging="360"/>
      </w:pPr>
      <w:rPr>
        <w:rFonts w:ascii="Courier New" w:hAnsi="Courier New" w:cs="Courier New" w:hint="default"/>
      </w:rPr>
    </w:lvl>
    <w:lvl w:ilvl="2" w:tplc="BF442270" w:tentative="1">
      <w:start w:val="1"/>
      <w:numFmt w:val="bullet"/>
      <w:lvlText w:val=""/>
      <w:lvlJc w:val="left"/>
      <w:pPr>
        <w:ind w:left="2880" w:hanging="360"/>
      </w:pPr>
      <w:rPr>
        <w:rFonts w:ascii="Wingdings" w:hAnsi="Wingdings" w:hint="default"/>
      </w:rPr>
    </w:lvl>
    <w:lvl w:ilvl="3" w:tplc="694E4AAE" w:tentative="1">
      <w:start w:val="1"/>
      <w:numFmt w:val="bullet"/>
      <w:lvlText w:val=""/>
      <w:lvlJc w:val="left"/>
      <w:pPr>
        <w:ind w:left="3600" w:hanging="360"/>
      </w:pPr>
      <w:rPr>
        <w:rFonts w:ascii="Symbol" w:hAnsi="Symbol" w:hint="default"/>
      </w:rPr>
    </w:lvl>
    <w:lvl w:ilvl="4" w:tplc="7CB6B638" w:tentative="1">
      <w:start w:val="1"/>
      <w:numFmt w:val="bullet"/>
      <w:lvlText w:val="o"/>
      <w:lvlJc w:val="left"/>
      <w:pPr>
        <w:ind w:left="4320" w:hanging="360"/>
      </w:pPr>
      <w:rPr>
        <w:rFonts w:ascii="Courier New" w:hAnsi="Courier New" w:cs="Courier New" w:hint="default"/>
      </w:rPr>
    </w:lvl>
    <w:lvl w:ilvl="5" w:tplc="F66AC7CC" w:tentative="1">
      <w:start w:val="1"/>
      <w:numFmt w:val="bullet"/>
      <w:lvlText w:val=""/>
      <w:lvlJc w:val="left"/>
      <w:pPr>
        <w:ind w:left="5040" w:hanging="360"/>
      </w:pPr>
      <w:rPr>
        <w:rFonts w:ascii="Wingdings" w:hAnsi="Wingdings" w:hint="default"/>
      </w:rPr>
    </w:lvl>
    <w:lvl w:ilvl="6" w:tplc="78363618" w:tentative="1">
      <w:start w:val="1"/>
      <w:numFmt w:val="bullet"/>
      <w:lvlText w:val=""/>
      <w:lvlJc w:val="left"/>
      <w:pPr>
        <w:ind w:left="5760" w:hanging="360"/>
      </w:pPr>
      <w:rPr>
        <w:rFonts w:ascii="Symbol" w:hAnsi="Symbol" w:hint="default"/>
      </w:rPr>
    </w:lvl>
    <w:lvl w:ilvl="7" w:tplc="B0E270E6" w:tentative="1">
      <w:start w:val="1"/>
      <w:numFmt w:val="bullet"/>
      <w:lvlText w:val="o"/>
      <w:lvlJc w:val="left"/>
      <w:pPr>
        <w:ind w:left="6480" w:hanging="360"/>
      </w:pPr>
      <w:rPr>
        <w:rFonts w:ascii="Courier New" w:hAnsi="Courier New" w:cs="Courier New" w:hint="default"/>
      </w:rPr>
    </w:lvl>
    <w:lvl w:ilvl="8" w:tplc="9AC067E0"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24C1"/>
    <w:rsid w:val="000C7E7A"/>
    <w:rsid w:val="000C7FA7"/>
    <w:rsid w:val="000E36C4"/>
    <w:rsid w:val="000E38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47C08"/>
    <w:rsid w:val="00163941"/>
    <w:rsid w:val="0016524D"/>
    <w:rsid w:val="00165DD8"/>
    <w:rsid w:val="00167B97"/>
    <w:rsid w:val="00167B9D"/>
    <w:rsid w:val="0017531A"/>
    <w:rsid w:val="00181D0F"/>
    <w:rsid w:val="001822BB"/>
    <w:rsid w:val="00192DDC"/>
    <w:rsid w:val="001A0E54"/>
    <w:rsid w:val="001B0C91"/>
    <w:rsid w:val="001B171B"/>
    <w:rsid w:val="001B7815"/>
    <w:rsid w:val="001C0618"/>
    <w:rsid w:val="001C344A"/>
    <w:rsid w:val="001C4D97"/>
    <w:rsid w:val="001C4E7B"/>
    <w:rsid w:val="001D0818"/>
    <w:rsid w:val="001D291B"/>
    <w:rsid w:val="001F1D46"/>
    <w:rsid w:val="001F2E49"/>
    <w:rsid w:val="001F35D6"/>
    <w:rsid w:val="001F4091"/>
    <w:rsid w:val="001F6F5B"/>
    <w:rsid w:val="002025BE"/>
    <w:rsid w:val="0020583F"/>
    <w:rsid w:val="00207DE8"/>
    <w:rsid w:val="00210E32"/>
    <w:rsid w:val="00213897"/>
    <w:rsid w:val="00224F08"/>
    <w:rsid w:val="00225E97"/>
    <w:rsid w:val="00243F1A"/>
    <w:rsid w:val="002456FD"/>
    <w:rsid w:val="00247C80"/>
    <w:rsid w:val="00250DC8"/>
    <w:rsid w:val="002546FF"/>
    <w:rsid w:val="00262E0D"/>
    <w:rsid w:val="00263036"/>
    <w:rsid w:val="0027055C"/>
    <w:rsid w:val="0027081A"/>
    <w:rsid w:val="00271569"/>
    <w:rsid w:val="002715BF"/>
    <w:rsid w:val="00274253"/>
    <w:rsid w:val="0027646A"/>
    <w:rsid w:val="002836ED"/>
    <w:rsid w:val="00291606"/>
    <w:rsid w:val="00294AC5"/>
    <w:rsid w:val="00295417"/>
    <w:rsid w:val="002A1258"/>
    <w:rsid w:val="002A484E"/>
    <w:rsid w:val="002B295D"/>
    <w:rsid w:val="002B380A"/>
    <w:rsid w:val="002B72FB"/>
    <w:rsid w:val="002C2CC6"/>
    <w:rsid w:val="002C7D28"/>
    <w:rsid w:val="002D0440"/>
    <w:rsid w:val="002D3C6C"/>
    <w:rsid w:val="002D42D3"/>
    <w:rsid w:val="002E0FC6"/>
    <w:rsid w:val="002F073E"/>
    <w:rsid w:val="002F0DEE"/>
    <w:rsid w:val="002F2B7C"/>
    <w:rsid w:val="002F5AE2"/>
    <w:rsid w:val="0030220A"/>
    <w:rsid w:val="00303254"/>
    <w:rsid w:val="003043A5"/>
    <w:rsid w:val="00306428"/>
    <w:rsid w:val="00317649"/>
    <w:rsid w:val="003210B4"/>
    <w:rsid w:val="003230DF"/>
    <w:rsid w:val="003359D4"/>
    <w:rsid w:val="003438CD"/>
    <w:rsid w:val="00345595"/>
    <w:rsid w:val="00345A2B"/>
    <w:rsid w:val="0034778E"/>
    <w:rsid w:val="00351562"/>
    <w:rsid w:val="00353CC9"/>
    <w:rsid w:val="003565AA"/>
    <w:rsid w:val="00357AA9"/>
    <w:rsid w:val="00362133"/>
    <w:rsid w:val="003642EE"/>
    <w:rsid w:val="003653A6"/>
    <w:rsid w:val="00366E88"/>
    <w:rsid w:val="00371A81"/>
    <w:rsid w:val="00371AE5"/>
    <w:rsid w:val="00371B7B"/>
    <w:rsid w:val="00380670"/>
    <w:rsid w:val="00385005"/>
    <w:rsid w:val="00392F35"/>
    <w:rsid w:val="003A2BD3"/>
    <w:rsid w:val="003A4DB5"/>
    <w:rsid w:val="003B03B4"/>
    <w:rsid w:val="003B750A"/>
    <w:rsid w:val="003C3EA2"/>
    <w:rsid w:val="003D1720"/>
    <w:rsid w:val="003D370C"/>
    <w:rsid w:val="003E07E5"/>
    <w:rsid w:val="003F077D"/>
    <w:rsid w:val="003F16AA"/>
    <w:rsid w:val="003F1C8B"/>
    <w:rsid w:val="003F1F3A"/>
    <w:rsid w:val="003F3AFA"/>
    <w:rsid w:val="003F5DEF"/>
    <w:rsid w:val="003F60F1"/>
    <w:rsid w:val="003F695E"/>
    <w:rsid w:val="00400B2E"/>
    <w:rsid w:val="0040126F"/>
    <w:rsid w:val="00406BCC"/>
    <w:rsid w:val="004248B3"/>
    <w:rsid w:val="00426D5E"/>
    <w:rsid w:val="00437142"/>
    <w:rsid w:val="004427A3"/>
    <w:rsid w:val="004431E2"/>
    <w:rsid w:val="00444921"/>
    <w:rsid w:val="0045217E"/>
    <w:rsid w:val="004532F6"/>
    <w:rsid w:val="004647ED"/>
    <w:rsid w:val="0046584E"/>
    <w:rsid w:val="0048005D"/>
    <w:rsid w:val="004826E0"/>
    <w:rsid w:val="004854B4"/>
    <w:rsid w:val="00490AB7"/>
    <w:rsid w:val="004A0B82"/>
    <w:rsid w:val="004A1DBA"/>
    <w:rsid w:val="004A6D85"/>
    <w:rsid w:val="004B4E15"/>
    <w:rsid w:val="004B78E3"/>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61E97"/>
    <w:rsid w:val="00573977"/>
    <w:rsid w:val="00573DF1"/>
    <w:rsid w:val="00577099"/>
    <w:rsid w:val="00582D4C"/>
    <w:rsid w:val="00595DE6"/>
    <w:rsid w:val="005A0398"/>
    <w:rsid w:val="005A0FB8"/>
    <w:rsid w:val="005A3507"/>
    <w:rsid w:val="005A5115"/>
    <w:rsid w:val="005B05F4"/>
    <w:rsid w:val="005B2292"/>
    <w:rsid w:val="005B6B5D"/>
    <w:rsid w:val="005C3AC8"/>
    <w:rsid w:val="005D307F"/>
    <w:rsid w:val="005D4355"/>
    <w:rsid w:val="005D4569"/>
    <w:rsid w:val="005E02CC"/>
    <w:rsid w:val="005E1ABD"/>
    <w:rsid w:val="005E3A1D"/>
    <w:rsid w:val="005E40C5"/>
    <w:rsid w:val="005F5D2D"/>
    <w:rsid w:val="005F7F0C"/>
    <w:rsid w:val="00600E7C"/>
    <w:rsid w:val="0060320D"/>
    <w:rsid w:val="0060447B"/>
    <w:rsid w:val="00607629"/>
    <w:rsid w:val="00611C6A"/>
    <w:rsid w:val="00616961"/>
    <w:rsid w:val="00620874"/>
    <w:rsid w:val="0062434E"/>
    <w:rsid w:val="006254F4"/>
    <w:rsid w:val="00625BA2"/>
    <w:rsid w:val="00627FFE"/>
    <w:rsid w:val="006337FA"/>
    <w:rsid w:val="0063398E"/>
    <w:rsid w:val="00633CE1"/>
    <w:rsid w:val="00637B7D"/>
    <w:rsid w:val="00643E17"/>
    <w:rsid w:val="00644AC1"/>
    <w:rsid w:val="00645DB8"/>
    <w:rsid w:val="00646D28"/>
    <w:rsid w:val="006530DB"/>
    <w:rsid w:val="006549A8"/>
    <w:rsid w:val="00664262"/>
    <w:rsid w:val="006670C6"/>
    <w:rsid w:val="00671A15"/>
    <w:rsid w:val="0068256F"/>
    <w:rsid w:val="00685092"/>
    <w:rsid w:val="00687984"/>
    <w:rsid w:val="006943E1"/>
    <w:rsid w:val="00694826"/>
    <w:rsid w:val="00694A31"/>
    <w:rsid w:val="006A2324"/>
    <w:rsid w:val="006A2965"/>
    <w:rsid w:val="006A7D8F"/>
    <w:rsid w:val="006B1399"/>
    <w:rsid w:val="006B1E41"/>
    <w:rsid w:val="006C049F"/>
    <w:rsid w:val="006C2000"/>
    <w:rsid w:val="006C2290"/>
    <w:rsid w:val="006E1634"/>
    <w:rsid w:val="006E2047"/>
    <w:rsid w:val="006E2951"/>
    <w:rsid w:val="006F094D"/>
    <w:rsid w:val="006F5623"/>
    <w:rsid w:val="006F56ED"/>
    <w:rsid w:val="007005C0"/>
    <w:rsid w:val="00704189"/>
    <w:rsid w:val="0070621B"/>
    <w:rsid w:val="0070714F"/>
    <w:rsid w:val="00713D7A"/>
    <w:rsid w:val="007140FE"/>
    <w:rsid w:val="00717028"/>
    <w:rsid w:val="00731210"/>
    <w:rsid w:val="00732F83"/>
    <w:rsid w:val="0073409D"/>
    <w:rsid w:val="00735A61"/>
    <w:rsid w:val="00740F9E"/>
    <w:rsid w:val="00741640"/>
    <w:rsid w:val="00743ADC"/>
    <w:rsid w:val="0075074D"/>
    <w:rsid w:val="00754580"/>
    <w:rsid w:val="00756AB7"/>
    <w:rsid w:val="00757701"/>
    <w:rsid w:val="00762BD7"/>
    <w:rsid w:val="0077168F"/>
    <w:rsid w:val="0077310A"/>
    <w:rsid w:val="00777F1C"/>
    <w:rsid w:val="007830CA"/>
    <w:rsid w:val="00786D82"/>
    <w:rsid w:val="007A1A1B"/>
    <w:rsid w:val="007C0B28"/>
    <w:rsid w:val="007C365C"/>
    <w:rsid w:val="007D1278"/>
    <w:rsid w:val="007D5E7B"/>
    <w:rsid w:val="007D67BB"/>
    <w:rsid w:val="007D6BE4"/>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4694"/>
    <w:rsid w:val="0084521F"/>
    <w:rsid w:val="00845997"/>
    <w:rsid w:val="00845E30"/>
    <w:rsid w:val="00853CFA"/>
    <w:rsid w:val="0087045D"/>
    <w:rsid w:val="00870DB0"/>
    <w:rsid w:val="00877B2D"/>
    <w:rsid w:val="00884AA9"/>
    <w:rsid w:val="00890EEB"/>
    <w:rsid w:val="008970F0"/>
    <w:rsid w:val="008B0F7F"/>
    <w:rsid w:val="008B373A"/>
    <w:rsid w:val="008C7D69"/>
    <w:rsid w:val="008D1207"/>
    <w:rsid w:val="008D2F10"/>
    <w:rsid w:val="008D5A73"/>
    <w:rsid w:val="008E01B1"/>
    <w:rsid w:val="008E0303"/>
    <w:rsid w:val="008F08B1"/>
    <w:rsid w:val="008F3737"/>
    <w:rsid w:val="008F4C7C"/>
    <w:rsid w:val="008F5037"/>
    <w:rsid w:val="008F50A3"/>
    <w:rsid w:val="008F6D1A"/>
    <w:rsid w:val="00904DC9"/>
    <w:rsid w:val="0091111F"/>
    <w:rsid w:val="009122F2"/>
    <w:rsid w:val="00920B44"/>
    <w:rsid w:val="00922014"/>
    <w:rsid w:val="00925EB4"/>
    <w:rsid w:val="00927B0B"/>
    <w:rsid w:val="00932475"/>
    <w:rsid w:val="009350B6"/>
    <w:rsid w:val="00935B0E"/>
    <w:rsid w:val="00936360"/>
    <w:rsid w:val="00946DD0"/>
    <w:rsid w:val="0094728A"/>
    <w:rsid w:val="00947F2B"/>
    <w:rsid w:val="00953FB0"/>
    <w:rsid w:val="00956D66"/>
    <w:rsid w:val="00964F14"/>
    <w:rsid w:val="00965F0E"/>
    <w:rsid w:val="0098042E"/>
    <w:rsid w:val="00983138"/>
    <w:rsid w:val="0098799F"/>
    <w:rsid w:val="009A21E6"/>
    <w:rsid w:val="009A2307"/>
    <w:rsid w:val="009A3F28"/>
    <w:rsid w:val="009A40E4"/>
    <w:rsid w:val="009A771D"/>
    <w:rsid w:val="009B5349"/>
    <w:rsid w:val="009C6C39"/>
    <w:rsid w:val="009C78F6"/>
    <w:rsid w:val="009D16A6"/>
    <w:rsid w:val="009D3E9F"/>
    <w:rsid w:val="009D4AE6"/>
    <w:rsid w:val="009D651D"/>
    <w:rsid w:val="009E0233"/>
    <w:rsid w:val="009E7334"/>
    <w:rsid w:val="009F10B9"/>
    <w:rsid w:val="009F2E93"/>
    <w:rsid w:val="009F51DC"/>
    <w:rsid w:val="009F7001"/>
    <w:rsid w:val="00A048D8"/>
    <w:rsid w:val="00A13007"/>
    <w:rsid w:val="00A22BB6"/>
    <w:rsid w:val="00A24A6F"/>
    <w:rsid w:val="00A273A4"/>
    <w:rsid w:val="00A31E7B"/>
    <w:rsid w:val="00A350E9"/>
    <w:rsid w:val="00A43F03"/>
    <w:rsid w:val="00A55774"/>
    <w:rsid w:val="00A56EB5"/>
    <w:rsid w:val="00A57AFC"/>
    <w:rsid w:val="00A61464"/>
    <w:rsid w:val="00A62AB2"/>
    <w:rsid w:val="00A631BA"/>
    <w:rsid w:val="00A70A43"/>
    <w:rsid w:val="00A710FA"/>
    <w:rsid w:val="00A71A07"/>
    <w:rsid w:val="00A77E3D"/>
    <w:rsid w:val="00A80B6D"/>
    <w:rsid w:val="00A8140C"/>
    <w:rsid w:val="00A821FE"/>
    <w:rsid w:val="00A867AF"/>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A7B35"/>
    <w:rsid w:val="00BB13B6"/>
    <w:rsid w:val="00BB245D"/>
    <w:rsid w:val="00BC507C"/>
    <w:rsid w:val="00BD3C1C"/>
    <w:rsid w:val="00BD54FC"/>
    <w:rsid w:val="00BD5D0A"/>
    <w:rsid w:val="00BE4A76"/>
    <w:rsid w:val="00BE5890"/>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ECB"/>
    <w:rsid w:val="00D70351"/>
    <w:rsid w:val="00D75FA7"/>
    <w:rsid w:val="00D77680"/>
    <w:rsid w:val="00D8147F"/>
    <w:rsid w:val="00D837A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0BA2"/>
    <w:rsid w:val="00DF76E4"/>
    <w:rsid w:val="00E02921"/>
    <w:rsid w:val="00E14F2F"/>
    <w:rsid w:val="00E24087"/>
    <w:rsid w:val="00E46F85"/>
    <w:rsid w:val="00E51AF8"/>
    <w:rsid w:val="00E54C92"/>
    <w:rsid w:val="00E6138B"/>
    <w:rsid w:val="00E61DB9"/>
    <w:rsid w:val="00E632B7"/>
    <w:rsid w:val="00E64422"/>
    <w:rsid w:val="00E64A43"/>
    <w:rsid w:val="00E678C7"/>
    <w:rsid w:val="00E75BCC"/>
    <w:rsid w:val="00E92CEF"/>
    <w:rsid w:val="00E95A00"/>
    <w:rsid w:val="00E979B7"/>
    <w:rsid w:val="00EB2504"/>
    <w:rsid w:val="00EB4B87"/>
    <w:rsid w:val="00EF0176"/>
    <w:rsid w:val="00EF21C5"/>
    <w:rsid w:val="00EF3BA9"/>
    <w:rsid w:val="00EF6258"/>
    <w:rsid w:val="00EF6423"/>
    <w:rsid w:val="00EF6D5B"/>
    <w:rsid w:val="00F01C67"/>
    <w:rsid w:val="00F06A82"/>
    <w:rsid w:val="00F1397B"/>
    <w:rsid w:val="00F20BB9"/>
    <w:rsid w:val="00F234D1"/>
    <w:rsid w:val="00F236D6"/>
    <w:rsid w:val="00F23DCF"/>
    <w:rsid w:val="00F240CD"/>
    <w:rsid w:val="00F26DD2"/>
    <w:rsid w:val="00F31D47"/>
    <w:rsid w:val="00F3651F"/>
    <w:rsid w:val="00F44F67"/>
    <w:rsid w:val="00F46B5C"/>
    <w:rsid w:val="00F55506"/>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669A"/>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2021-09-17T22:44:00Z</dcterms:created>
  <dcterms:modified xsi:type="dcterms:W3CDTF">2021-09-17T22:44:00Z</dcterms:modified>
</cp:coreProperties>
</file>